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DA25B2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DA25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ПОСТАНОВЛЕНИЕ  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C11799" w:rsidRDefault="009A21B8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24.12</w:t>
      </w:r>
      <w:r w:rsidR="00450EDF">
        <w:rPr>
          <w:rFonts w:ascii="Times New Roman" w:hAnsi="Times New Roman"/>
          <w:b/>
          <w:sz w:val="28"/>
          <w:szCs w:val="28"/>
          <w:lang w:eastAsia="ru-RU"/>
        </w:rPr>
        <w:t>.2024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</w:t>
      </w:r>
      <w:r w:rsidR="007553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      №</w:t>
      </w:r>
      <w:r w:rsidR="00DC1141">
        <w:rPr>
          <w:rFonts w:ascii="Times New Roman" w:hAnsi="Times New Roman"/>
          <w:b/>
          <w:sz w:val="28"/>
          <w:szCs w:val="28"/>
          <w:lang w:eastAsia="ru-RU"/>
        </w:rPr>
        <w:t>40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C1179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  <w:r w:rsidR="00C1179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</w:t>
      </w:r>
      <w:r w:rsidR="00AE332A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в день, следующий за днем его официального опубликования.</w:t>
      </w: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25B2" w:rsidRPr="00C11799" w:rsidRDefault="00DA25B2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 xml:space="preserve"> Глава Троицкого сельсовета                                          </w:t>
      </w:r>
      <w:r w:rsidR="00C11799" w:rsidRPr="00C11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179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A0AD4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Pr="00D62B13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D62B13" w:rsidRDefault="00D62B13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C11799" w:rsidRPr="00D62B13" w:rsidRDefault="00C1179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4299B" w:rsidRDefault="0004299B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  <w:r w:rsidR="009A21B8">
        <w:rPr>
          <w:rFonts w:ascii="Times New Roman" w:hAnsi="Times New Roman"/>
          <w:sz w:val="24"/>
          <w:szCs w:val="24"/>
          <w:lang w:eastAsia="ru-RU"/>
        </w:rPr>
        <w:t>24.12</w:t>
      </w:r>
      <w:r w:rsidR="00023466">
        <w:rPr>
          <w:rFonts w:ascii="Times New Roman" w:hAnsi="Times New Roman"/>
          <w:sz w:val="24"/>
          <w:szCs w:val="24"/>
          <w:lang w:eastAsia="ru-RU"/>
        </w:rPr>
        <w:t>.2024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DC1141">
        <w:rPr>
          <w:rFonts w:ascii="Times New Roman" w:hAnsi="Times New Roman"/>
          <w:sz w:val="24"/>
          <w:szCs w:val="24"/>
          <w:lang w:eastAsia="ru-RU"/>
        </w:rPr>
        <w:t>40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150C0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9A21B8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7825,2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994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A21B8">
              <w:rPr>
                <w:rFonts w:ascii="Times New Roman" w:hAnsi="Times New Roman"/>
                <w:sz w:val="24"/>
                <w:szCs w:val="24"/>
                <w:lang w:eastAsia="ru-RU"/>
              </w:rPr>
              <w:t>4679,6</w:t>
            </w:r>
            <w:r w:rsidR="009B7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1653,5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863C28">
              <w:rPr>
                <w:rFonts w:ascii="Times New Roman" w:hAnsi="Times New Roman"/>
                <w:sz w:val="24"/>
                <w:szCs w:val="24"/>
                <w:lang w:eastAsia="ru-RU"/>
              </w:rPr>
              <w:t>1492,1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9A21B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5159,8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9A21B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2137,8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1591,7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  <w:r w:rsidR="00BC3F49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</w:t>
            </w:r>
            <w:r w:rsidR="00150C0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– </w:t>
            </w:r>
            <w:r w:rsidR="000777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1430,3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201</w:t>
      </w:r>
      <w:r w:rsidR="00123431">
        <w:rPr>
          <w:rFonts w:ascii="Times New Roman" w:hAnsi="Times New Roman"/>
          <w:sz w:val="24"/>
          <w:szCs w:val="24"/>
        </w:rPr>
        <w:t>9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2020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</w:t>
      </w:r>
      <w:r w:rsidR="00C11799">
        <w:rPr>
          <w:rFonts w:ascii="Times New Roman" w:hAnsi="Times New Roman"/>
          <w:sz w:val="24"/>
          <w:szCs w:val="24"/>
        </w:rPr>
        <w:t xml:space="preserve">       </w:t>
      </w:r>
      <w:r w:rsidRPr="00D62B13">
        <w:rPr>
          <w:rFonts w:ascii="Times New Roman" w:hAnsi="Times New Roman"/>
          <w:sz w:val="24"/>
          <w:szCs w:val="24"/>
        </w:rPr>
        <w:t xml:space="preserve">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C11799">
        <w:rPr>
          <w:rFonts w:ascii="Times New Roman" w:hAnsi="Times New Roman"/>
          <w:sz w:val="24"/>
          <w:szCs w:val="24"/>
        </w:rPr>
        <w:t xml:space="preserve">    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="00C11799">
        <w:rPr>
          <w:rFonts w:ascii="Times New Roman" w:hAnsi="Times New Roman"/>
          <w:sz w:val="24"/>
          <w:szCs w:val="24"/>
        </w:rPr>
        <w:t xml:space="preserve">    </w:t>
      </w:r>
      <w:r w:rsidRPr="00D62B13">
        <w:rPr>
          <w:rFonts w:ascii="Times New Roman" w:hAnsi="Times New Roman"/>
          <w:sz w:val="24"/>
          <w:szCs w:val="24"/>
        </w:rPr>
        <w:t xml:space="preserve">   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</w:t>
      </w:r>
      <w:r w:rsidR="00C11799">
        <w:rPr>
          <w:rFonts w:ascii="Times New Roman" w:hAnsi="Times New Roman"/>
          <w:sz w:val="24"/>
          <w:szCs w:val="24"/>
        </w:rPr>
        <w:t xml:space="preserve">         </w:t>
      </w:r>
      <w:r w:rsidRPr="00D62B13">
        <w:rPr>
          <w:rFonts w:ascii="Times New Roman" w:hAnsi="Times New Roman"/>
          <w:sz w:val="24"/>
          <w:szCs w:val="24"/>
        </w:rPr>
        <w:t xml:space="preserve">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C11799">
        <w:rPr>
          <w:rFonts w:ascii="Times New Roman" w:hAnsi="Times New Roman"/>
          <w:sz w:val="24"/>
          <w:szCs w:val="24"/>
        </w:rPr>
        <w:t xml:space="preserve">        </w:t>
      </w: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  <w:r w:rsidR="00C11799">
        <w:rPr>
          <w:rFonts w:ascii="Times New Roman" w:hAnsi="Times New Roman"/>
          <w:sz w:val="24"/>
          <w:szCs w:val="24"/>
        </w:rPr>
        <w:t xml:space="preserve">      </w:t>
      </w: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75539B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</w:t>
      </w:r>
      <w:r w:rsidR="00221380">
        <w:rPr>
          <w:rFonts w:ascii="Times New Roman" w:hAnsi="Times New Roman"/>
          <w:color w:val="FF0000"/>
          <w:sz w:val="24"/>
          <w:szCs w:val="24"/>
        </w:rPr>
        <w:t>4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221380">
        <w:rPr>
          <w:rFonts w:ascii="Times New Roman" w:hAnsi="Times New Roman"/>
          <w:color w:val="FF0000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CD41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D41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C3F49" w:rsidRPr="00D62B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9B2C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48345D" w:rsidRPr="00D62B13" w:rsidRDefault="0048345D" w:rsidP="00CD41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CD41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DA0DD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0100000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F219C4" w:rsidP="00F219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4679,6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1A54E0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1492,1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F219C4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7825,2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D62B13" w:rsidRDefault="000059A7" w:rsidP="000059A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D62B13" w:rsidRDefault="000059A7" w:rsidP="000059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D62B13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0059A7" w:rsidRDefault="000059A7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2F5282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1337,4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799,7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2A52AD" w:rsidRDefault="00CF6B54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799,5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2A52AD" w:rsidRDefault="002F5282" w:rsidP="00CF6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52AD">
              <w:rPr>
                <w:rFonts w:ascii="Times New Roman" w:hAnsi="Times New Roman"/>
                <w:b/>
                <w:sz w:val="24"/>
                <w:szCs w:val="24"/>
              </w:rPr>
              <w:t>2936,6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E854A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0059A7" w:rsidRDefault="0035304E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59A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136B81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779,7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2A52AD" w:rsidRDefault="00CF6B54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2AD">
              <w:rPr>
                <w:rFonts w:ascii="Times New Roman" w:hAnsi="Times New Roman"/>
                <w:sz w:val="24"/>
                <w:szCs w:val="24"/>
                <w:lang w:eastAsia="ru-RU"/>
              </w:rPr>
              <w:t>779,5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2A52AD" w:rsidRDefault="00136B81" w:rsidP="00005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2297,8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color w:val="993300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2A5C8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9718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2A52A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A52AD">
              <w:rPr>
                <w:rFonts w:ascii="Times New Roman" w:hAnsi="Times New Roman"/>
                <w:sz w:val="24"/>
                <w:szCs w:val="24"/>
                <w:lang w:eastAsia="ru-RU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136B81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A52A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136B81" w:rsidP="009718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2F528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01100</w:t>
            </w:r>
            <w:r w:rsidR="002F5282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2F5282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2F5282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578,7</w:t>
            </w: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</w:t>
            </w:r>
            <w:r w:rsidR="00F003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8B6EC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60,</w:t>
            </w:r>
            <w:r w:rsidR="00F003C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CA73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35304E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4C4A45"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C976DD" w:rsidRDefault="00BC7915" w:rsidP="00FA5F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72,47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C976DD" w:rsidRDefault="004C4A45" w:rsidP="00724EE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253,6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D62B13" w:rsidRDefault="0048345D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D62B13" w:rsidRDefault="0048345D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D62B13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30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35304E" w:rsidRDefault="0048345D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6D3BD5" w:rsidP="00FA5FF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6D3BD5" w:rsidP="005633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</w:t>
            </w:r>
            <w:r w:rsidR="004C4A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216,3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00S4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35304E" w:rsidRDefault="00FA5FF1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35304E" w:rsidRDefault="00BC7915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B6EC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F451C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F219C4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3222,5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A35BB3" w:rsidP="000059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976DD" w:rsidRDefault="00A35BB3" w:rsidP="002860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588,1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976DD" w:rsidRDefault="00F51B24" w:rsidP="001A54E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4560,0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CA735F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D62B13" w:rsidRDefault="00CA735F" w:rsidP="004834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766492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A35BB3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D3BD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F51B24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1690,5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D62B13" w:rsidRDefault="00CA735F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D62B13" w:rsidRDefault="00CA735F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D62B13" w:rsidRDefault="00CA735F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766492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CA735F" w:rsidRDefault="006D3BD5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CA735F" w:rsidRDefault="00F51B24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F742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766492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F51B24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47,8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766492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F51B24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695,2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34706A" w:rsidRDefault="0034706A" w:rsidP="0034706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34706A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4706A" w:rsidRPr="00D62B13" w:rsidRDefault="0034706A" w:rsidP="0048345D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34706A" w:rsidRPr="00D62B13" w:rsidRDefault="0034706A" w:rsidP="00483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48345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1A54E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925,0</w:t>
            </w:r>
          </w:p>
        </w:tc>
      </w:tr>
      <w:tr w:rsidR="0034706A" w:rsidRPr="00D62B13" w:rsidTr="00DF6FA4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976DD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</w:tr>
      <w:tr w:rsidR="0034706A" w:rsidRPr="00D62B13" w:rsidTr="00DF6FA4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C976D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</w:tr>
      <w:tr w:rsidR="0034706A" w:rsidRPr="00D62B13" w:rsidTr="0048345D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A36C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 Отдельные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F4451E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4706A" w:rsidRPr="00C976DD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34706A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976DD" w:rsidRDefault="0034706A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6DD">
              <w:rPr>
                <w:rFonts w:ascii="Times New Roman" w:hAnsi="Times New Roman"/>
                <w:b/>
                <w:sz w:val="24"/>
                <w:szCs w:val="24"/>
              </w:rPr>
              <w:t>32,0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976DD" w:rsidRDefault="00F4451E" w:rsidP="00985D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  <w:r w:rsidR="0034706A" w:rsidRPr="00C976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34706A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2A5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06A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35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34706A" w:rsidP="00CA735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35F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4706A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6A" w:rsidRPr="00D62B13" w:rsidRDefault="0034706A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D62B13" w:rsidRDefault="0034706A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8C31F7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D62B13" w:rsidRDefault="0034706A" w:rsidP="00EE02EC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F4451E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4706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706A" w:rsidRPr="00CA735F" w:rsidRDefault="0034706A" w:rsidP="00985D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6A" w:rsidRPr="00CA735F" w:rsidRDefault="00F4451E" w:rsidP="00985D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34706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 w:rsidR="00562375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 средств финансирования Программы за счет всех источников  составит </w:t>
            </w:r>
            <w:r w:rsidR="00041D4D">
              <w:rPr>
                <w:rFonts w:ascii="Times New Roman" w:hAnsi="Times New Roman"/>
                <w:color w:val="FF0000"/>
                <w:sz w:val="24"/>
                <w:szCs w:val="24"/>
              </w:rPr>
              <w:t>2936,6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41D4D">
              <w:rPr>
                <w:rFonts w:ascii="Times New Roman" w:hAnsi="Times New Roman"/>
                <w:sz w:val="24"/>
                <w:szCs w:val="24"/>
                <w:lang w:eastAsia="ru-RU"/>
              </w:rPr>
              <w:t>1337,4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0A664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2357,9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758,7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A6648">
              <w:rPr>
                <w:rFonts w:ascii="Times New Roman" w:hAnsi="Times New Roman"/>
                <w:sz w:val="24"/>
                <w:szCs w:val="24"/>
                <w:lang w:eastAsia="ru-RU"/>
              </w:rPr>
              <w:t>799,5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7553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62375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5623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 в границах населенных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>ного мероприятия (в</w:t>
            </w:r>
            <w:r w:rsidR="00B25756">
              <w:rPr>
                <w:rFonts w:ascii="Times New Roman" w:hAnsi="Times New Roman"/>
                <w:lang w:eastAsia="ru-RU"/>
              </w:rPr>
              <w:t xml:space="preserve"> 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</w:t>
            </w:r>
            <w:r w:rsidR="00562375">
              <w:rPr>
                <w:rFonts w:ascii="Times New Roman" w:hAnsi="Times New Roman"/>
              </w:rPr>
              <w:t>4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562375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562375">
              <w:rPr>
                <w:rFonts w:ascii="Times New Roman" w:hAnsi="Times New Roman"/>
                <w:lang w:eastAsia="ru-RU"/>
              </w:rPr>
              <w:t>5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5623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5623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300D1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582F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8300D1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2297,8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</w:t>
            </w:r>
            <w:r w:rsidR="005300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</w:t>
            </w:r>
            <w:r w:rsidR="005300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041D4D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041D4D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1D4D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 с Троицк, ул. Революции от дома №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30 до ул. Фаленберга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290C61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290C61">
              <w:rPr>
                <w:rFonts w:ascii="Times New Roman" w:hAnsi="Times New Roman"/>
                <w:sz w:val="24"/>
                <w:szCs w:val="24"/>
              </w:rPr>
              <w:t>00010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290C61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290C6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</w:t>
            </w:r>
            <w:r w:rsidRPr="00290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299B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041D4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1337,4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582F37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799,5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041D4D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2936,6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45"/>
        <w:gridCol w:w="6027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F95">
              <w:rPr>
                <w:rFonts w:ascii="Times New Roman" w:hAnsi="Times New Roman"/>
                <w:color w:val="FF0000"/>
                <w:sz w:val="24"/>
                <w:szCs w:val="24"/>
              </w:rPr>
              <w:t>253,6</w:t>
            </w:r>
            <w:r w:rsidR="008867C1" w:rsidRPr="00886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Pr="00E2063A" w:rsidRDefault="00BC3F49" w:rsidP="00511C6F">
            <w:pPr>
              <w:ind w:left="125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10</w:t>
            </w:r>
            <w:r w:rsidR="00523F95">
              <w:rPr>
                <w:rFonts w:ascii="Times New Roman" w:hAnsi="Times New Roman"/>
                <w:sz w:val="24"/>
                <w:szCs w:val="24"/>
              </w:rPr>
              <w:t>8,7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203B16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053026">
              <w:rPr>
                <w:rFonts w:ascii="Times New Roman" w:hAnsi="Times New Roman"/>
                <w:sz w:val="24"/>
                <w:szCs w:val="24"/>
              </w:rPr>
              <w:t>72,47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203B16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5A064B" w:rsidRDefault="005A064B" w:rsidP="00EE1897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5A064B" w:rsidRPr="005A064B" w:rsidRDefault="005A064B" w:rsidP="005A064B">
      <w:pPr>
        <w:rPr>
          <w:sz w:val="24"/>
          <w:szCs w:val="24"/>
        </w:rPr>
      </w:pPr>
    </w:p>
    <w:p w:rsidR="00BC3F49" w:rsidRPr="005A064B" w:rsidRDefault="00BC3F49" w:rsidP="005A064B">
      <w:pPr>
        <w:rPr>
          <w:sz w:val="24"/>
          <w:szCs w:val="24"/>
        </w:rPr>
        <w:sectPr w:rsidR="00BC3F49" w:rsidRPr="005A064B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</w:t>
      </w:r>
      <w:r w:rsidR="00203B16">
        <w:rPr>
          <w:rFonts w:ascii="Times New Roman" w:hAnsi="Times New Roman"/>
          <w:color w:val="000000"/>
          <w:sz w:val="24"/>
          <w:szCs w:val="24"/>
        </w:rPr>
        <w:t>4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203B16">
        <w:rPr>
          <w:rFonts w:ascii="Times New Roman" w:hAnsi="Times New Roman"/>
          <w:color w:val="000000"/>
          <w:sz w:val="24"/>
          <w:szCs w:val="24"/>
        </w:rPr>
        <w:t>6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755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DC3EC1" w:rsidRPr="00D62B13" w:rsidRDefault="00DC3EC1" w:rsidP="00DC3EC1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Объемы и источники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D62B13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BC3F49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</w:t>
      </w:r>
      <w:r w:rsidR="00DC3EC1">
        <w:rPr>
          <w:rFonts w:ascii="Times New Roman" w:hAnsi="Times New Roman"/>
          <w:sz w:val="24"/>
          <w:szCs w:val="24"/>
        </w:rPr>
        <w:t>всех источников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253,6</w:t>
      </w:r>
      <w:r w:rsidR="008867C1" w:rsidRPr="008867C1">
        <w:rPr>
          <w:rFonts w:ascii="Times New Roman" w:hAnsi="Times New Roman"/>
          <w:sz w:val="24"/>
          <w:szCs w:val="24"/>
        </w:rPr>
        <w:t xml:space="preserve"> 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</w:t>
      </w:r>
      <w:r w:rsidR="00DC3EC1">
        <w:rPr>
          <w:rFonts w:ascii="Times New Roman" w:hAnsi="Times New Roman"/>
          <w:sz w:val="24"/>
          <w:szCs w:val="24"/>
        </w:rPr>
        <w:t>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523F95">
        <w:rPr>
          <w:rFonts w:ascii="Times New Roman" w:hAnsi="Times New Roman"/>
          <w:sz w:val="24"/>
          <w:szCs w:val="24"/>
        </w:rPr>
        <w:t>108,7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053026">
        <w:rPr>
          <w:rFonts w:ascii="Times New Roman" w:hAnsi="Times New Roman"/>
          <w:sz w:val="24"/>
          <w:szCs w:val="24"/>
        </w:rPr>
        <w:t>72,47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DC3EC1"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 w:rsidR="00053026">
        <w:rPr>
          <w:rFonts w:ascii="Times New Roman" w:hAnsi="Times New Roman"/>
          <w:sz w:val="24"/>
          <w:szCs w:val="24"/>
        </w:rPr>
        <w:t>72,47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DC3EC1" w:rsidRPr="00D62B13" w:rsidRDefault="00DC3EC1" w:rsidP="00DC3EC1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них: 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 w:rsidRPr="00D62B13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поселения</w:t>
      </w:r>
      <w:r w:rsidRPr="00D62B13">
        <w:rPr>
          <w:rFonts w:ascii="Times New Roman" w:hAnsi="Times New Roman"/>
          <w:sz w:val="24"/>
          <w:szCs w:val="24"/>
        </w:rPr>
        <w:t xml:space="preserve"> потребуется </w:t>
      </w:r>
      <w:r w:rsidR="00523F95">
        <w:rPr>
          <w:rFonts w:ascii="Times New Roman" w:hAnsi="Times New Roman"/>
          <w:sz w:val="24"/>
          <w:szCs w:val="24"/>
        </w:rPr>
        <w:t>37,34</w:t>
      </w:r>
      <w:r w:rsidRPr="00886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рублей, в том числе 2024</w:t>
      </w:r>
      <w:r w:rsidRPr="00D62B13">
        <w:rPr>
          <w:rFonts w:ascii="Times New Roman" w:hAnsi="Times New Roman"/>
          <w:sz w:val="24"/>
          <w:szCs w:val="24"/>
        </w:rPr>
        <w:t>г. –</w:t>
      </w:r>
      <w:r w:rsidR="00523F95">
        <w:rPr>
          <w:rFonts w:ascii="Times New Roman" w:hAnsi="Times New Roman"/>
          <w:sz w:val="24"/>
          <w:szCs w:val="24"/>
        </w:rPr>
        <w:t>16,0</w:t>
      </w:r>
      <w:r w:rsidRPr="00D62B13">
        <w:rPr>
          <w:rFonts w:ascii="Times New Roman" w:hAnsi="Times New Roman"/>
          <w:sz w:val="24"/>
          <w:szCs w:val="24"/>
        </w:rPr>
        <w:t>; 20</w:t>
      </w:r>
      <w:r>
        <w:rPr>
          <w:rFonts w:ascii="Times New Roman" w:hAnsi="Times New Roman"/>
          <w:sz w:val="24"/>
          <w:szCs w:val="24"/>
        </w:rPr>
        <w:t>25</w:t>
      </w:r>
      <w:r w:rsidRPr="00D62B13">
        <w:rPr>
          <w:rFonts w:ascii="Times New Roman" w:hAnsi="Times New Roman"/>
          <w:sz w:val="24"/>
          <w:szCs w:val="24"/>
        </w:rPr>
        <w:t>г. –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>; 202</w:t>
      </w:r>
      <w:r>
        <w:rPr>
          <w:rFonts w:ascii="Times New Roman" w:hAnsi="Times New Roman"/>
          <w:sz w:val="24"/>
          <w:szCs w:val="24"/>
        </w:rPr>
        <w:t>6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–</w:t>
      </w:r>
      <w:r w:rsidRPr="00D62B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10,67</w:t>
      </w:r>
      <w:r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EB26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B2662">
              <w:rPr>
                <w:rFonts w:ascii="Times New Roman" w:hAnsi="Times New Roman"/>
                <w:sz w:val="20"/>
                <w:szCs w:val="20"/>
              </w:rPr>
              <w:t>6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</w:t>
            </w:r>
            <w:r w:rsidR="00647A8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C428FD" w:rsidP="0028327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</w:t>
            </w:r>
            <w:r w:rsidR="00647A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 w:rsidR="00A567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053026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</w:t>
            </w:r>
            <w:r w:rsidR="0005302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053026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216,3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053026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EB2662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053026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053026" w:rsidP="00EB266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72,47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647A83" w:rsidP="003A51D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</w:t>
      </w:r>
      <w:r w:rsidR="00C62696">
        <w:rPr>
          <w:rFonts w:ascii="Times New Roman" w:hAnsi="Times New Roman" w:cs="Times New Roman"/>
          <w:sz w:val="24"/>
          <w:szCs w:val="24"/>
        </w:rPr>
        <w:t>4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62696">
        <w:rPr>
          <w:rFonts w:ascii="Times New Roman" w:hAnsi="Times New Roman" w:cs="Times New Roman"/>
          <w:sz w:val="24"/>
          <w:szCs w:val="24"/>
        </w:rPr>
        <w:t>6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DA25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EB26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B2662">
              <w:rPr>
                <w:rFonts w:ascii="Times New Roman" w:hAnsi="Times New Roman"/>
                <w:sz w:val="24"/>
                <w:szCs w:val="24"/>
              </w:rPr>
              <w:t>6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692140">
              <w:rPr>
                <w:rFonts w:ascii="Times New Roman" w:hAnsi="Times New Roman"/>
                <w:color w:val="FF0000"/>
                <w:sz w:val="24"/>
                <w:szCs w:val="24"/>
              </w:rPr>
              <w:t>4560,00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  <w:p w:rsidR="00BC3F49" w:rsidRPr="0075539B" w:rsidRDefault="00BC3F49" w:rsidP="00817B0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BC3F49" w:rsidRDefault="00BC3F49" w:rsidP="0099736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69214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3222,5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6E65F9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749,4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6E65F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582F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588,1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Default="00BC3F49" w:rsidP="008300D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69214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2689,6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  <w:p w:rsidR="004954B5" w:rsidRDefault="004954B5" w:rsidP="004954B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69214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1352,1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4954B5" w:rsidRDefault="004954B5" w:rsidP="004954B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749,4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4954B5" w:rsidRPr="00D62B13" w:rsidRDefault="004954B5" w:rsidP="004954B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588,1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</w:t>
            </w:r>
          </w:p>
        </w:tc>
      </w:tr>
      <w:tr w:rsidR="00BC3F49" w:rsidRPr="00D62B13" w:rsidTr="00DA25B2">
        <w:trPr>
          <w:trHeight w:val="10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9C09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820267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490,5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9C09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582F37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820267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487780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9C09A5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20267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C09A5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8300D1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D1" w:rsidRDefault="004B00F0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3</w:t>
            </w:r>
          </w:p>
          <w:p w:rsidR="004B00F0" w:rsidRPr="00D62B13" w:rsidRDefault="004B00F0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Pr="00D62B13" w:rsidRDefault="008300D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4B00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01300000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4B00F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Pr="00D62B13" w:rsidRDefault="008300D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Default="004B396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00D1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Default="004B3961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00D1" w:rsidRPr="00D62B13" w:rsidRDefault="004B00F0" w:rsidP="004B00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C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r w:rsidRPr="00290C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20267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20267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20267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582F37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2026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695,2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4B3961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61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6660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925,0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Гранд, </w:t>
            </w:r>
            <w:r w:rsidRPr="004B3961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ремонту  ограждения кладбища в с. Троицк</w:t>
            </w:r>
          </w:p>
        </w:tc>
      </w:tr>
      <w:tr w:rsidR="004B3961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61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4B39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6660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Pr="00D62B13" w:rsidRDefault="004B3961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3961" w:rsidRDefault="004B3961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Default="004B3961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961" w:rsidRPr="00D62B13" w:rsidRDefault="004B3961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Софинансирование местного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4B3961">
              <w:rPr>
                <w:rFonts w:ascii="Times New Roman" w:hAnsi="Times New Roman"/>
                <w:sz w:val="24"/>
                <w:szCs w:val="24"/>
                <w:lang w:eastAsia="ru-RU"/>
              </w:rPr>
              <w:t>работы по ремонту  ограждения кладбища в с. Троицк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13143F" w:rsidRDefault="003B4778" w:rsidP="00131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13143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3143F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13143F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13143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945,4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4B00F0" w:rsidP="00065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ППМИ</w:t>
            </w:r>
            <w:r w:rsidR="003B4778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работе по замене уличного освещения в п.</w:t>
            </w:r>
            <w:r w:rsidR="000650EC">
              <w:rPr>
                <w:rFonts w:ascii="Times New Roman" w:hAnsi="Times New Roman"/>
                <w:sz w:val="24"/>
                <w:szCs w:val="24"/>
                <w:lang w:eastAsia="ru-RU"/>
              </w:rPr>
              <w:t>Троицк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4B39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4B396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131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13143F">
              <w:rPr>
                <w:rFonts w:ascii="Times New Roman" w:hAnsi="Times New Roman"/>
                <w:sz w:val="24"/>
                <w:szCs w:val="24"/>
              </w:rPr>
              <w:t>6410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13143F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3143F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13143F" w:rsidRDefault="007A7047" w:rsidP="000650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143F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 местного бюджета на ремонт уличного освещения п.</w:t>
            </w:r>
            <w:r w:rsidR="000650EC">
              <w:rPr>
                <w:rFonts w:ascii="Times New Roman" w:hAnsi="Times New Roman"/>
                <w:sz w:val="24"/>
                <w:szCs w:val="24"/>
                <w:lang w:eastAsia="ru-RU"/>
              </w:rPr>
              <w:t>Троицк</w:t>
            </w: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820267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3222,5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749,4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D5779B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588,1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820267" w:rsidP="00FC572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4560,0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программно</w:t>
      </w:r>
      <w:r w:rsidR="00C11799">
        <w:rPr>
          <w:rFonts w:asciiTheme="minorHAnsi" w:hAnsiTheme="minorHAnsi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целевой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подход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решению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проблем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в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области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архитектуры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C11799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A7B1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A7B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</w:t>
            </w:r>
            <w:r w:rsidR="00AA7B1C">
              <w:rPr>
                <w:rFonts w:ascii="Times New Roman" w:hAnsi="Times New Roman"/>
                <w:sz w:val="24"/>
                <w:szCs w:val="24"/>
              </w:rPr>
              <w:t>6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604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258CB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3481C">
              <w:rPr>
                <w:rFonts w:ascii="Times New Roman" w:hAnsi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258CB" w:rsidP="00AA7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 w:rsidR="0043481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258CB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43481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AA7B1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A7B1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258CB" w:rsidP="00AA7B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</w:t>
            </w:r>
            <w:r w:rsidR="0043481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4FF" w:rsidRDefault="009214FF" w:rsidP="003A1FE6">
      <w:pPr>
        <w:spacing w:before="0" w:after="0"/>
      </w:pPr>
      <w:r>
        <w:separator/>
      </w:r>
    </w:p>
  </w:endnote>
  <w:endnote w:type="continuationSeparator" w:id="0">
    <w:p w:rsidR="009214FF" w:rsidRDefault="009214FF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4FF" w:rsidRDefault="009214FF" w:rsidP="003A1FE6">
      <w:pPr>
        <w:spacing w:before="0" w:after="0"/>
      </w:pPr>
      <w:r>
        <w:separator/>
      </w:r>
    </w:p>
  </w:footnote>
  <w:footnote w:type="continuationSeparator" w:id="0">
    <w:p w:rsidR="009214FF" w:rsidRDefault="009214FF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4B90"/>
    <w:rsid w:val="000059A7"/>
    <w:rsid w:val="00006506"/>
    <w:rsid w:val="00011542"/>
    <w:rsid w:val="00022CED"/>
    <w:rsid w:val="00023466"/>
    <w:rsid w:val="00023D3E"/>
    <w:rsid w:val="000402B3"/>
    <w:rsid w:val="00041D4D"/>
    <w:rsid w:val="0004299B"/>
    <w:rsid w:val="00053026"/>
    <w:rsid w:val="00053196"/>
    <w:rsid w:val="00053303"/>
    <w:rsid w:val="000533B9"/>
    <w:rsid w:val="00053E3C"/>
    <w:rsid w:val="00055EF3"/>
    <w:rsid w:val="00060168"/>
    <w:rsid w:val="000650EC"/>
    <w:rsid w:val="00066815"/>
    <w:rsid w:val="00066FE4"/>
    <w:rsid w:val="00077718"/>
    <w:rsid w:val="00081438"/>
    <w:rsid w:val="00086219"/>
    <w:rsid w:val="00093160"/>
    <w:rsid w:val="000A199E"/>
    <w:rsid w:val="000A2286"/>
    <w:rsid w:val="000A364F"/>
    <w:rsid w:val="000A3CD3"/>
    <w:rsid w:val="000A591A"/>
    <w:rsid w:val="000A6648"/>
    <w:rsid w:val="000A6D96"/>
    <w:rsid w:val="000A76F8"/>
    <w:rsid w:val="000B5F28"/>
    <w:rsid w:val="000C3965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3431"/>
    <w:rsid w:val="00123572"/>
    <w:rsid w:val="00124D59"/>
    <w:rsid w:val="00126434"/>
    <w:rsid w:val="001267AF"/>
    <w:rsid w:val="00127F8C"/>
    <w:rsid w:val="00130FEB"/>
    <w:rsid w:val="0013143F"/>
    <w:rsid w:val="00136B81"/>
    <w:rsid w:val="00143E8C"/>
    <w:rsid w:val="0014571E"/>
    <w:rsid w:val="00145F2D"/>
    <w:rsid w:val="00150C0B"/>
    <w:rsid w:val="00151DB4"/>
    <w:rsid w:val="00166080"/>
    <w:rsid w:val="00180CBE"/>
    <w:rsid w:val="0019528F"/>
    <w:rsid w:val="00195FE4"/>
    <w:rsid w:val="001A2A43"/>
    <w:rsid w:val="001A54E0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197D"/>
    <w:rsid w:val="001F1D5C"/>
    <w:rsid w:val="001F5E66"/>
    <w:rsid w:val="00203B16"/>
    <w:rsid w:val="00211A4A"/>
    <w:rsid w:val="0021255F"/>
    <w:rsid w:val="00215856"/>
    <w:rsid w:val="00216EEB"/>
    <w:rsid w:val="002175DE"/>
    <w:rsid w:val="002177F4"/>
    <w:rsid w:val="00221380"/>
    <w:rsid w:val="0022789A"/>
    <w:rsid w:val="00233CBE"/>
    <w:rsid w:val="002361BA"/>
    <w:rsid w:val="0024075F"/>
    <w:rsid w:val="002441A7"/>
    <w:rsid w:val="00246E12"/>
    <w:rsid w:val="00255CD7"/>
    <w:rsid w:val="002667DF"/>
    <w:rsid w:val="00272A52"/>
    <w:rsid w:val="00274B41"/>
    <w:rsid w:val="0028302A"/>
    <w:rsid w:val="00283279"/>
    <w:rsid w:val="00284E87"/>
    <w:rsid w:val="002851F3"/>
    <w:rsid w:val="00286013"/>
    <w:rsid w:val="00290C61"/>
    <w:rsid w:val="00290DF8"/>
    <w:rsid w:val="00291310"/>
    <w:rsid w:val="0029131D"/>
    <w:rsid w:val="00292597"/>
    <w:rsid w:val="00297CFA"/>
    <w:rsid w:val="002A1A87"/>
    <w:rsid w:val="002A43D7"/>
    <w:rsid w:val="002A52AD"/>
    <w:rsid w:val="002A5C81"/>
    <w:rsid w:val="002A5FBC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5282"/>
    <w:rsid w:val="002F61D8"/>
    <w:rsid w:val="00302346"/>
    <w:rsid w:val="00307210"/>
    <w:rsid w:val="00310B7E"/>
    <w:rsid w:val="003213AF"/>
    <w:rsid w:val="003258CB"/>
    <w:rsid w:val="0032614D"/>
    <w:rsid w:val="00326664"/>
    <w:rsid w:val="00326E52"/>
    <w:rsid w:val="003325D0"/>
    <w:rsid w:val="00332B36"/>
    <w:rsid w:val="0034078C"/>
    <w:rsid w:val="0034247B"/>
    <w:rsid w:val="003424B1"/>
    <w:rsid w:val="00346936"/>
    <w:rsid w:val="0034706A"/>
    <w:rsid w:val="0035304E"/>
    <w:rsid w:val="00354157"/>
    <w:rsid w:val="003632EB"/>
    <w:rsid w:val="00367F06"/>
    <w:rsid w:val="00371317"/>
    <w:rsid w:val="00372E3C"/>
    <w:rsid w:val="003747D0"/>
    <w:rsid w:val="00376DF3"/>
    <w:rsid w:val="00384E72"/>
    <w:rsid w:val="00386C1E"/>
    <w:rsid w:val="00387EC8"/>
    <w:rsid w:val="00390415"/>
    <w:rsid w:val="0039794B"/>
    <w:rsid w:val="003A1FE6"/>
    <w:rsid w:val="003A51D7"/>
    <w:rsid w:val="003B4778"/>
    <w:rsid w:val="003B61F6"/>
    <w:rsid w:val="003C0347"/>
    <w:rsid w:val="003C1197"/>
    <w:rsid w:val="003C5C6B"/>
    <w:rsid w:val="003C7923"/>
    <w:rsid w:val="003F1B00"/>
    <w:rsid w:val="003F484F"/>
    <w:rsid w:val="003F4E6E"/>
    <w:rsid w:val="003F67B8"/>
    <w:rsid w:val="003F7023"/>
    <w:rsid w:val="003F7EA5"/>
    <w:rsid w:val="004010CE"/>
    <w:rsid w:val="004112DE"/>
    <w:rsid w:val="0041523A"/>
    <w:rsid w:val="004154CD"/>
    <w:rsid w:val="00416A86"/>
    <w:rsid w:val="00417994"/>
    <w:rsid w:val="00420378"/>
    <w:rsid w:val="00423B70"/>
    <w:rsid w:val="004253B1"/>
    <w:rsid w:val="0043481C"/>
    <w:rsid w:val="004368EF"/>
    <w:rsid w:val="00444DB9"/>
    <w:rsid w:val="004466E4"/>
    <w:rsid w:val="00450EDF"/>
    <w:rsid w:val="0046242C"/>
    <w:rsid w:val="004667B4"/>
    <w:rsid w:val="004672AD"/>
    <w:rsid w:val="004741E8"/>
    <w:rsid w:val="00476362"/>
    <w:rsid w:val="00477952"/>
    <w:rsid w:val="0048345D"/>
    <w:rsid w:val="0048491F"/>
    <w:rsid w:val="00486EAB"/>
    <w:rsid w:val="00487780"/>
    <w:rsid w:val="00490ECC"/>
    <w:rsid w:val="0049483B"/>
    <w:rsid w:val="004954B5"/>
    <w:rsid w:val="004A1E7F"/>
    <w:rsid w:val="004A53CA"/>
    <w:rsid w:val="004A7F29"/>
    <w:rsid w:val="004B00F0"/>
    <w:rsid w:val="004B1804"/>
    <w:rsid w:val="004B3961"/>
    <w:rsid w:val="004B5AA2"/>
    <w:rsid w:val="004C16FF"/>
    <w:rsid w:val="004C4A45"/>
    <w:rsid w:val="004C727A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1153B"/>
    <w:rsid w:val="00511C6F"/>
    <w:rsid w:val="00512014"/>
    <w:rsid w:val="005127B8"/>
    <w:rsid w:val="00514C3A"/>
    <w:rsid w:val="00517639"/>
    <w:rsid w:val="005223C8"/>
    <w:rsid w:val="005238FD"/>
    <w:rsid w:val="00523F95"/>
    <w:rsid w:val="005300EC"/>
    <w:rsid w:val="005328D1"/>
    <w:rsid w:val="00534B47"/>
    <w:rsid w:val="00535FCE"/>
    <w:rsid w:val="005458D3"/>
    <w:rsid w:val="0055706A"/>
    <w:rsid w:val="00562375"/>
    <w:rsid w:val="005633A4"/>
    <w:rsid w:val="00582F37"/>
    <w:rsid w:val="005903CE"/>
    <w:rsid w:val="005949D6"/>
    <w:rsid w:val="00595EB6"/>
    <w:rsid w:val="005970B3"/>
    <w:rsid w:val="005A064B"/>
    <w:rsid w:val="005A2BF0"/>
    <w:rsid w:val="005B05F9"/>
    <w:rsid w:val="005B174F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3ED0"/>
    <w:rsid w:val="005F5209"/>
    <w:rsid w:val="006007A2"/>
    <w:rsid w:val="0061042A"/>
    <w:rsid w:val="00612B86"/>
    <w:rsid w:val="006202E1"/>
    <w:rsid w:val="00622B14"/>
    <w:rsid w:val="006267DD"/>
    <w:rsid w:val="00632C62"/>
    <w:rsid w:val="00642E1A"/>
    <w:rsid w:val="00643839"/>
    <w:rsid w:val="00644A3D"/>
    <w:rsid w:val="00646119"/>
    <w:rsid w:val="00647A83"/>
    <w:rsid w:val="00661FAC"/>
    <w:rsid w:val="006622B9"/>
    <w:rsid w:val="006632C8"/>
    <w:rsid w:val="0067435D"/>
    <w:rsid w:val="00674F9E"/>
    <w:rsid w:val="006827D0"/>
    <w:rsid w:val="006828A2"/>
    <w:rsid w:val="00683B36"/>
    <w:rsid w:val="00684BE8"/>
    <w:rsid w:val="00692140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B5A1C"/>
    <w:rsid w:val="006C21E7"/>
    <w:rsid w:val="006C29F7"/>
    <w:rsid w:val="006C2DC3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539B"/>
    <w:rsid w:val="00756727"/>
    <w:rsid w:val="0076038F"/>
    <w:rsid w:val="00760873"/>
    <w:rsid w:val="00763D71"/>
    <w:rsid w:val="007647BD"/>
    <w:rsid w:val="00765D95"/>
    <w:rsid w:val="00766492"/>
    <w:rsid w:val="00770AD7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610D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0267"/>
    <w:rsid w:val="008222E3"/>
    <w:rsid w:val="008252DC"/>
    <w:rsid w:val="0082552F"/>
    <w:rsid w:val="008300D1"/>
    <w:rsid w:val="008302A7"/>
    <w:rsid w:val="008366F5"/>
    <w:rsid w:val="00840EF4"/>
    <w:rsid w:val="008459EF"/>
    <w:rsid w:val="00860D4A"/>
    <w:rsid w:val="00860F36"/>
    <w:rsid w:val="0086181B"/>
    <w:rsid w:val="00863C28"/>
    <w:rsid w:val="008669D0"/>
    <w:rsid w:val="008736F8"/>
    <w:rsid w:val="0087714C"/>
    <w:rsid w:val="00877C0A"/>
    <w:rsid w:val="008867C1"/>
    <w:rsid w:val="008874A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1074D"/>
    <w:rsid w:val="009214FF"/>
    <w:rsid w:val="00922846"/>
    <w:rsid w:val="00924F6A"/>
    <w:rsid w:val="00925542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85D73"/>
    <w:rsid w:val="00990352"/>
    <w:rsid w:val="0099379E"/>
    <w:rsid w:val="009943DB"/>
    <w:rsid w:val="0099491D"/>
    <w:rsid w:val="00997064"/>
    <w:rsid w:val="00997364"/>
    <w:rsid w:val="00997476"/>
    <w:rsid w:val="00997D13"/>
    <w:rsid w:val="009A0351"/>
    <w:rsid w:val="009A124D"/>
    <w:rsid w:val="009A1571"/>
    <w:rsid w:val="009A21B8"/>
    <w:rsid w:val="009A56AC"/>
    <w:rsid w:val="009B2CB5"/>
    <w:rsid w:val="009B40FF"/>
    <w:rsid w:val="009B784B"/>
    <w:rsid w:val="009B785F"/>
    <w:rsid w:val="009C09A5"/>
    <w:rsid w:val="009C1B03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04423"/>
    <w:rsid w:val="00A11519"/>
    <w:rsid w:val="00A16A01"/>
    <w:rsid w:val="00A1742F"/>
    <w:rsid w:val="00A23606"/>
    <w:rsid w:val="00A26E46"/>
    <w:rsid w:val="00A35BB3"/>
    <w:rsid w:val="00A36C08"/>
    <w:rsid w:val="00A37213"/>
    <w:rsid w:val="00A406E4"/>
    <w:rsid w:val="00A42644"/>
    <w:rsid w:val="00A46C33"/>
    <w:rsid w:val="00A46C60"/>
    <w:rsid w:val="00A5676B"/>
    <w:rsid w:val="00A61709"/>
    <w:rsid w:val="00A66198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A7B1C"/>
    <w:rsid w:val="00AB0330"/>
    <w:rsid w:val="00AB2966"/>
    <w:rsid w:val="00AC458D"/>
    <w:rsid w:val="00AC7799"/>
    <w:rsid w:val="00AD7E74"/>
    <w:rsid w:val="00AE1B08"/>
    <w:rsid w:val="00AE332A"/>
    <w:rsid w:val="00AE545E"/>
    <w:rsid w:val="00AE63D7"/>
    <w:rsid w:val="00AE72BC"/>
    <w:rsid w:val="00AF0920"/>
    <w:rsid w:val="00AF425C"/>
    <w:rsid w:val="00AF6B64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50D2"/>
    <w:rsid w:val="00B50943"/>
    <w:rsid w:val="00B60480"/>
    <w:rsid w:val="00B633BB"/>
    <w:rsid w:val="00B639E9"/>
    <w:rsid w:val="00B653CD"/>
    <w:rsid w:val="00B71785"/>
    <w:rsid w:val="00B75D3D"/>
    <w:rsid w:val="00B7795F"/>
    <w:rsid w:val="00B842AE"/>
    <w:rsid w:val="00B855F1"/>
    <w:rsid w:val="00B91F55"/>
    <w:rsid w:val="00B96BAE"/>
    <w:rsid w:val="00BA0E55"/>
    <w:rsid w:val="00BA496E"/>
    <w:rsid w:val="00BB7AE7"/>
    <w:rsid w:val="00BC3F49"/>
    <w:rsid w:val="00BC7915"/>
    <w:rsid w:val="00BD025A"/>
    <w:rsid w:val="00BD23E6"/>
    <w:rsid w:val="00BD2596"/>
    <w:rsid w:val="00BD2901"/>
    <w:rsid w:val="00BD6B88"/>
    <w:rsid w:val="00BE1A18"/>
    <w:rsid w:val="00BE20A8"/>
    <w:rsid w:val="00BF087F"/>
    <w:rsid w:val="00BF249E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C"/>
    <w:rsid w:val="00C46A35"/>
    <w:rsid w:val="00C51B5F"/>
    <w:rsid w:val="00C52B28"/>
    <w:rsid w:val="00C61B5C"/>
    <w:rsid w:val="00C62696"/>
    <w:rsid w:val="00C62C4C"/>
    <w:rsid w:val="00C6645A"/>
    <w:rsid w:val="00C72D80"/>
    <w:rsid w:val="00C7377E"/>
    <w:rsid w:val="00C75BB9"/>
    <w:rsid w:val="00C771B3"/>
    <w:rsid w:val="00C92AC8"/>
    <w:rsid w:val="00C93854"/>
    <w:rsid w:val="00C94F41"/>
    <w:rsid w:val="00C95F51"/>
    <w:rsid w:val="00C976DD"/>
    <w:rsid w:val="00CA0B6B"/>
    <w:rsid w:val="00CA1809"/>
    <w:rsid w:val="00CA2D93"/>
    <w:rsid w:val="00CA386B"/>
    <w:rsid w:val="00CA735F"/>
    <w:rsid w:val="00CB0918"/>
    <w:rsid w:val="00CB2432"/>
    <w:rsid w:val="00CB728D"/>
    <w:rsid w:val="00CB770B"/>
    <w:rsid w:val="00CC444B"/>
    <w:rsid w:val="00CC518C"/>
    <w:rsid w:val="00CC76ED"/>
    <w:rsid w:val="00CC7A9A"/>
    <w:rsid w:val="00CD2DF6"/>
    <w:rsid w:val="00CD3370"/>
    <w:rsid w:val="00CD417C"/>
    <w:rsid w:val="00CD5E2A"/>
    <w:rsid w:val="00CE5555"/>
    <w:rsid w:val="00CF6B54"/>
    <w:rsid w:val="00CF7425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5779B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6407"/>
    <w:rsid w:val="00DA0DDB"/>
    <w:rsid w:val="00DA25B2"/>
    <w:rsid w:val="00DB0FE6"/>
    <w:rsid w:val="00DB1B1F"/>
    <w:rsid w:val="00DB36FD"/>
    <w:rsid w:val="00DB4875"/>
    <w:rsid w:val="00DB57A9"/>
    <w:rsid w:val="00DC1141"/>
    <w:rsid w:val="00DC1E3A"/>
    <w:rsid w:val="00DC3825"/>
    <w:rsid w:val="00DC3EC1"/>
    <w:rsid w:val="00DC422D"/>
    <w:rsid w:val="00DC51A3"/>
    <w:rsid w:val="00DD5054"/>
    <w:rsid w:val="00DE4178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2063A"/>
    <w:rsid w:val="00E21049"/>
    <w:rsid w:val="00E229DE"/>
    <w:rsid w:val="00E22D28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854A3"/>
    <w:rsid w:val="00E9496A"/>
    <w:rsid w:val="00EA35C1"/>
    <w:rsid w:val="00EA3C1A"/>
    <w:rsid w:val="00EA4AEC"/>
    <w:rsid w:val="00EA56DF"/>
    <w:rsid w:val="00EB2662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03C0"/>
    <w:rsid w:val="00F01F9A"/>
    <w:rsid w:val="00F042CC"/>
    <w:rsid w:val="00F06100"/>
    <w:rsid w:val="00F075E7"/>
    <w:rsid w:val="00F14326"/>
    <w:rsid w:val="00F1456D"/>
    <w:rsid w:val="00F20AC7"/>
    <w:rsid w:val="00F219C4"/>
    <w:rsid w:val="00F301E3"/>
    <w:rsid w:val="00F30F6A"/>
    <w:rsid w:val="00F30F81"/>
    <w:rsid w:val="00F329F8"/>
    <w:rsid w:val="00F32D97"/>
    <w:rsid w:val="00F340B9"/>
    <w:rsid w:val="00F35DA5"/>
    <w:rsid w:val="00F36467"/>
    <w:rsid w:val="00F4451E"/>
    <w:rsid w:val="00F451C8"/>
    <w:rsid w:val="00F45E64"/>
    <w:rsid w:val="00F51B24"/>
    <w:rsid w:val="00F64EF0"/>
    <w:rsid w:val="00F65AC3"/>
    <w:rsid w:val="00F72558"/>
    <w:rsid w:val="00F7571E"/>
    <w:rsid w:val="00F96724"/>
    <w:rsid w:val="00F969E6"/>
    <w:rsid w:val="00FA5FF1"/>
    <w:rsid w:val="00FA68F4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CF98-16CD-4806-829B-AC899465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47</Pages>
  <Words>9916</Words>
  <Characters>56523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68</cp:revision>
  <cp:lastPrinted>2020-11-16T04:42:00Z</cp:lastPrinted>
  <dcterms:created xsi:type="dcterms:W3CDTF">2023-11-09T09:10:00Z</dcterms:created>
  <dcterms:modified xsi:type="dcterms:W3CDTF">2024-12-23T06:04:00Z</dcterms:modified>
</cp:coreProperties>
</file>