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70" w:rsidRPr="00D62B13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862C85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D03FB">
        <w:rPr>
          <w:rFonts w:ascii="Times New Roman" w:hAnsi="Times New Roman"/>
          <w:b/>
          <w:sz w:val="28"/>
          <w:szCs w:val="28"/>
          <w:lang w:eastAsia="ru-RU"/>
        </w:rPr>
        <w:t>.06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DF6F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       № </w:t>
      </w:r>
      <w:r w:rsidR="00670F26">
        <w:rPr>
          <w:rFonts w:ascii="Times New Roman" w:hAnsi="Times New Roman"/>
          <w:b/>
          <w:sz w:val="28"/>
          <w:szCs w:val="28"/>
          <w:lang w:eastAsia="ru-RU"/>
        </w:rPr>
        <w:t>21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07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79032A" w:rsidRDefault="00C11799" w:rsidP="0079032A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9032A" w:rsidRPr="003F2404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</w:t>
      </w:r>
      <w:r w:rsidR="0079032A">
        <w:rPr>
          <w:rFonts w:ascii="Times New Roman" w:hAnsi="Times New Roman"/>
          <w:sz w:val="28"/>
          <w:szCs w:val="28"/>
        </w:rPr>
        <w:t xml:space="preserve">     </w:t>
      </w:r>
      <w:r w:rsidR="0079032A" w:rsidRPr="003F2404">
        <w:rPr>
          <w:rFonts w:ascii="Times New Roman" w:hAnsi="Times New Roman"/>
          <w:sz w:val="28"/>
          <w:szCs w:val="28"/>
        </w:rPr>
        <w:t>официального опубликования</w:t>
      </w:r>
      <w:r w:rsidR="0079032A">
        <w:rPr>
          <w:rFonts w:ascii="Times New Roman" w:hAnsi="Times New Roman"/>
          <w:sz w:val="28"/>
          <w:szCs w:val="28"/>
        </w:rPr>
        <w:t>.</w:t>
      </w:r>
    </w:p>
    <w:p w:rsidR="0079032A" w:rsidRPr="00C11799" w:rsidRDefault="0079032A" w:rsidP="0079032A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Default="00BC3F4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770" w:rsidRPr="00C11799" w:rsidRDefault="00A66770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Pr="00C11799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E43">
        <w:rPr>
          <w:rFonts w:ascii="Times New Roman" w:hAnsi="Times New Roman"/>
          <w:sz w:val="28"/>
          <w:szCs w:val="28"/>
          <w:lang w:eastAsia="ru-RU"/>
        </w:rPr>
        <w:t>Глав</w:t>
      </w:r>
      <w:r w:rsidR="004D03FB">
        <w:rPr>
          <w:rFonts w:ascii="Times New Roman" w:hAnsi="Times New Roman"/>
          <w:sz w:val="28"/>
          <w:szCs w:val="28"/>
          <w:lang w:eastAsia="ru-RU"/>
        </w:rPr>
        <w:t>а</w:t>
      </w:r>
      <w:r w:rsidRPr="00C11799">
        <w:rPr>
          <w:rFonts w:ascii="Times New Roman" w:hAnsi="Times New Roman"/>
          <w:sz w:val="28"/>
          <w:szCs w:val="28"/>
          <w:lang w:eastAsia="ru-RU"/>
        </w:rPr>
        <w:t xml:space="preserve"> Троицкого сельсовета                                        </w:t>
      </w:r>
      <w:r w:rsidR="004D03FB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r w:rsidR="00862C85">
        <w:rPr>
          <w:rFonts w:ascii="Times New Roman" w:hAnsi="Times New Roman"/>
          <w:sz w:val="24"/>
          <w:szCs w:val="24"/>
          <w:lang w:eastAsia="ru-RU"/>
        </w:rPr>
        <w:t>21</w:t>
      </w:r>
      <w:r w:rsidR="004D03FB">
        <w:rPr>
          <w:rFonts w:ascii="Times New Roman" w:hAnsi="Times New Roman"/>
          <w:sz w:val="24"/>
          <w:szCs w:val="24"/>
          <w:lang w:eastAsia="ru-RU"/>
        </w:rPr>
        <w:t>.06</w:t>
      </w:r>
      <w:r w:rsidR="00A66770">
        <w:rPr>
          <w:rFonts w:ascii="Times New Roman" w:hAnsi="Times New Roman"/>
          <w:sz w:val="24"/>
          <w:szCs w:val="24"/>
          <w:lang w:eastAsia="ru-RU"/>
        </w:rPr>
        <w:t>.</w:t>
      </w:r>
      <w:r w:rsidRPr="00D62B13">
        <w:rPr>
          <w:rFonts w:ascii="Times New Roman" w:hAnsi="Times New Roman"/>
          <w:sz w:val="24"/>
          <w:szCs w:val="24"/>
          <w:lang w:eastAsia="ru-RU"/>
        </w:rPr>
        <w:t>20</w:t>
      </w:r>
      <w:r w:rsidR="006D3BD5">
        <w:rPr>
          <w:rFonts w:ascii="Times New Roman" w:hAnsi="Times New Roman"/>
          <w:sz w:val="24"/>
          <w:szCs w:val="24"/>
          <w:lang w:eastAsia="ru-RU"/>
        </w:rPr>
        <w:t>2</w:t>
      </w:r>
      <w:r w:rsidR="00A66770">
        <w:rPr>
          <w:rFonts w:ascii="Times New Roman" w:hAnsi="Times New Roman"/>
          <w:sz w:val="24"/>
          <w:szCs w:val="24"/>
          <w:lang w:eastAsia="ru-RU"/>
        </w:rPr>
        <w:t>3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670F26">
        <w:rPr>
          <w:rFonts w:ascii="Times New Roman" w:hAnsi="Times New Roman"/>
          <w:sz w:val="24"/>
          <w:szCs w:val="24"/>
          <w:lang w:eastAsia="ru-RU"/>
        </w:rPr>
        <w:t>21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990CB6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5216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90CB6">
              <w:rPr>
                <w:rFonts w:ascii="Times New Roman" w:hAnsi="Times New Roman"/>
                <w:sz w:val="24"/>
                <w:szCs w:val="24"/>
                <w:lang w:eastAsia="ru-RU"/>
              </w:rPr>
              <w:t>2589,9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1387,9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1238,2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4938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990C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2418,9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2024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1334,4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 1184,7</w:t>
            </w:r>
            <w:r w:rsidR="000765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</w:t>
      </w:r>
      <w:r w:rsidR="00A66770">
        <w:rPr>
          <w:rFonts w:ascii="Times New Roman" w:hAnsi="Times New Roman"/>
          <w:sz w:val="24"/>
          <w:szCs w:val="24"/>
        </w:rPr>
        <w:t>22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</w:t>
      </w:r>
      <w:r w:rsidR="00A66770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076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2023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6D3BD5">
        <w:rPr>
          <w:rFonts w:ascii="Times New Roman" w:hAnsi="Times New Roman"/>
          <w:color w:val="FF0000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D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Рз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DA0D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990CB6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2589,9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A23606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6D3BD5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1238,2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990CB6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5216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0059A7" w:rsidP="000059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2662FF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356,7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A79C0" w:rsidRPr="00A66770">
              <w:rPr>
                <w:rFonts w:ascii="Times New Roman" w:hAnsi="Times New Roman"/>
                <w:b/>
                <w:sz w:val="18"/>
                <w:szCs w:val="18"/>
              </w:rPr>
              <w:t>73,5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854A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1015,3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2A5C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662F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Обеспечение полномочий по первичным мерам пожарной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3E29F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  <w:r w:rsidR="003E29F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22B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F693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990CB6" w:rsidRDefault="00990CB6" w:rsidP="00724EE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234.6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3E29F8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FA79C0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990CB6" w:rsidRDefault="00990CB6" w:rsidP="00990C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1469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990CB6" w:rsidRDefault="00990CB6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3210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3E2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2210,0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990CB6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331</w:t>
            </w:r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103,</w:t>
            </w:r>
            <w:r w:rsidR="006A26E5" w:rsidRPr="00A667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445,4</w:t>
            </w:r>
          </w:p>
        </w:tc>
      </w:tr>
      <w:tr w:rsidR="00CA735F" w:rsidRPr="00D62B13" w:rsidTr="003E29F8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S74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23B70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7164A2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7164A2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  <w:r w:rsidR="00A11519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990CB6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990CB6" w:rsidRPr="00A66770" w:rsidRDefault="00990CB6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990CB6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3E29F8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3E29F8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48345D" w:rsidRPr="00D62B13" w:rsidTr="003E29F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A36C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  <w:r w:rsidR="002175DE" w:rsidRPr="00A66770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FA79C0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117,0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2A5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FA79C0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 54</w:t>
            </w:r>
            <w:r w:rsidR="002175DE" w:rsidRPr="00A6677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066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FA79C0" w:rsidP="0006681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114,0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2023-2025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1654,0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356,7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1654,0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2722A">
              <w:rPr>
                <w:rFonts w:ascii="Times New Roman" w:hAnsi="Times New Roman"/>
                <w:sz w:val="24"/>
                <w:szCs w:val="24"/>
                <w:lang w:eastAsia="ru-RU"/>
              </w:rPr>
              <w:t>959,4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356,7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0765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ного мероприятия (внатуральном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175D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C428FD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75D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0C74CA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1228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>дома №43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AF7C35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AF7C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2722A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122844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 до дома №43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3719F1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3719F1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23"/>
        <w:gridCol w:w="6049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507D8C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0C74CA">
              <w:rPr>
                <w:rFonts w:ascii="Times New Roman" w:hAnsi="Times New Roman"/>
                <w:color w:val="FF0000"/>
                <w:sz w:val="24"/>
                <w:szCs w:val="24"/>
              </w:rPr>
              <w:t>,6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C74CA">
              <w:rPr>
                <w:rFonts w:ascii="Times New Roman" w:hAnsi="Times New Roman"/>
                <w:sz w:val="24"/>
                <w:szCs w:val="24"/>
              </w:rPr>
              <w:t>10</w:t>
            </w:r>
            <w:r w:rsidR="00E2722A">
              <w:rPr>
                <w:rFonts w:ascii="Times New Roman" w:hAnsi="Times New Roman"/>
                <w:sz w:val="24"/>
                <w:szCs w:val="24"/>
              </w:rPr>
              <w:t>5</w:t>
            </w:r>
            <w:r w:rsidR="000C74CA">
              <w:rPr>
                <w:rFonts w:ascii="Times New Roman" w:hAnsi="Times New Roman"/>
                <w:sz w:val="24"/>
                <w:szCs w:val="24"/>
              </w:rPr>
              <w:t>,6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23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E10E43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2023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C428FD">
        <w:rPr>
          <w:rFonts w:ascii="Times New Roman" w:hAnsi="Times New Roman"/>
          <w:color w:val="000000"/>
          <w:sz w:val="24"/>
          <w:szCs w:val="24"/>
        </w:rPr>
        <w:t>5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E10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 w:rsidR="00507D8C">
        <w:rPr>
          <w:rFonts w:ascii="Times New Roman" w:hAnsi="Times New Roman"/>
          <w:sz w:val="24"/>
          <w:szCs w:val="24"/>
        </w:rPr>
        <w:t>234,</w:t>
      </w:r>
      <w:r w:rsidR="000010F2">
        <w:rPr>
          <w:rFonts w:ascii="Times New Roman" w:hAnsi="Times New Roman"/>
          <w:sz w:val="24"/>
          <w:szCs w:val="24"/>
        </w:rPr>
        <w:t>6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2023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07D8C">
        <w:rPr>
          <w:rFonts w:ascii="Times New Roman" w:hAnsi="Times New Roman"/>
          <w:sz w:val="24"/>
          <w:szCs w:val="24"/>
        </w:rPr>
        <w:t>105,</w:t>
      </w:r>
      <w:r w:rsidR="000010F2">
        <w:rPr>
          <w:rFonts w:ascii="Times New Roman" w:hAnsi="Times New Roman"/>
          <w:sz w:val="24"/>
          <w:szCs w:val="24"/>
        </w:rPr>
        <w:t>6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010F2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C74C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28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AF7C3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F7C3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="00C42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507D8C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C74CA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507D8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507D8C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C74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0010F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010F2">
              <w:rPr>
                <w:b/>
                <w:sz w:val="20"/>
                <w:szCs w:val="20"/>
              </w:rPr>
              <w:t>5</w:t>
            </w:r>
            <w:r w:rsidR="000C74CA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AF7C3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AF7C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0C74CA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E76F55">
        <w:trPr>
          <w:trHeight w:val="611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E76F55">
        <w:trPr>
          <w:trHeight w:val="7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9255F5" w:rsidRPr="009255F5">
              <w:rPr>
                <w:rFonts w:ascii="Times New Roman" w:hAnsi="Times New Roman"/>
                <w:color w:val="FF0000"/>
                <w:sz w:val="24"/>
                <w:szCs w:val="24"/>
              </w:rPr>
              <w:t>3210</w:t>
            </w:r>
            <w:r w:rsidR="009255F5">
              <w:rPr>
                <w:rFonts w:ascii="Times New Roman" w:hAnsi="Times New Roman"/>
                <w:color w:val="FF0000"/>
                <w:sz w:val="24"/>
                <w:szCs w:val="24"/>
              </w:rPr>
              <w:t>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9255F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1469,9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6E65F9" w:rsidRDefault="006E65F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E76F5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786,0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9255F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9255F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3210,4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E76F55">
        <w:trPr>
          <w:trHeight w:val="993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9255F5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9255F5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925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9255F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по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обустройству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«Детский уголок»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487780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535FCE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7780">
              <w:rPr>
                <w:rFonts w:ascii="Times New Roman" w:hAnsi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9B6F5A" w:rsidRDefault="007A7047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на </w:t>
            </w:r>
            <w:r w:rsidR="000704B2" w:rsidRPr="009B6F5A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площадки </w:t>
            </w:r>
            <w:r w:rsidR="000704B2" w:rsidRPr="009B6F5A">
              <w:rPr>
                <w:rFonts w:ascii="Times New Roman" w:hAnsi="Times New Roman"/>
                <w:sz w:val="24"/>
                <w:szCs w:val="24"/>
                <w:u w:val="single"/>
              </w:rPr>
              <w:t>«Детский уголок»</w:t>
            </w:r>
            <w:r w:rsidR="000704B2"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п.Лужки</w:t>
            </w:r>
          </w:p>
        </w:tc>
      </w:tr>
      <w:tr w:rsidR="009255F5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9. Налоговый потенциал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9B6F5A" w:rsidRDefault="009255F5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9255F5" w:rsidP="000010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1469,9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9255F5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3210,4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Необходимпрограммноцелевойподходкрешениюпроблемвобластиархитектурыиградостроительства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E10E43" w:rsidP="00E10E4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BC3F49"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№2 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E72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348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C74CA" w:rsidP="00195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49" w:rsidRDefault="009B7449" w:rsidP="003A1FE6">
      <w:pPr>
        <w:spacing w:before="0" w:after="0"/>
      </w:pPr>
      <w:r>
        <w:separator/>
      </w:r>
    </w:p>
  </w:endnote>
  <w:endnote w:type="continuationSeparator" w:id="0">
    <w:p w:rsidR="009B7449" w:rsidRDefault="009B7449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49" w:rsidRDefault="009B7449" w:rsidP="003A1FE6">
      <w:pPr>
        <w:spacing w:before="0" w:after="0"/>
      </w:pPr>
      <w:r>
        <w:separator/>
      </w:r>
    </w:p>
  </w:footnote>
  <w:footnote w:type="continuationSeparator" w:id="0">
    <w:p w:rsidR="009B7449" w:rsidRDefault="009B7449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0F2"/>
    <w:rsid w:val="00004B90"/>
    <w:rsid w:val="000059A7"/>
    <w:rsid w:val="00006506"/>
    <w:rsid w:val="00011542"/>
    <w:rsid w:val="00022CED"/>
    <w:rsid w:val="00023D3E"/>
    <w:rsid w:val="000402B3"/>
    <w:rsid w:val="0004299B"/>
    <w:rsid w:val="00053196"/>
    <w:rsid w:val="00053303"/>
    <w:rsid w:val="000533B9"/>
    <w:rsid w:val="00053E3C"/>
    <w:rsid w:val="00055EF3"/>
    <w:rsid w:val="00060168"/>
    <w:rsid w:val="00066815"/>
    <w:rsid w:val="000704B2"/>
    <w:rsid w:val="0007652A"/>
    <w:rsid w:val="00081438"/>
    <w:rsid w:val="00086219"/>
    <w:rsid w:val="00093160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C74CA"/>
    <w:rsid w:val="000D27EE"/>
    <w:rsid w:val="000D47C4"/>
    <w:rsid w:val="000D49A1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2844"/>
    <w:rsid w:val="00123431"/>
    <w:rsid w:val="00124D59"/>
    <w:rsid w:val="00126434"/>
    <w:rsid w:val="001267AF"/>
    <w:rsid w:val="00127F8C"/>
    <w:rsid w:val="00130FEB"/>
    <w:rsid w:val="00143E8C"/>
    <w:rsid w:val="0014571E"/>
    <w:rsid w:val="00145F2D"/>
    <w:rsid w:val="00151DB4"/>
    <w:rsid w:val="00166080"/>
    <w:rsid w:val="00180CBE"/>
    <w:rsid w:val="0019528F"/>
    <w:rsid w:val="00195FE4"/>
    <w:rsid w:val="001A2A43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11A4A"/>
    <w:rsid w:val="0021255F"/>
    <w:rsid w:val="00215856"/>
    <w:rsid w:val="00216EEB"/>
    <w:rsid w:val="002175DE"/>
    <w:rsid w:val="0022789A"/>
    <w:rsid w:val="00233CBE"/>
    <w:rsid w:val="002361BA"/>
    <w:rsid w:val="0024075F"/>
    <w:rsid w:val="002441A7"/>
    <w:rsid w:val="00246E12"/>
    <w:rsid w:val="00255CD7"/>
    <w:rsid w:val="002662FF"/>
    <w:rsid w:val="00272A52"/>
    <w:rsid w:val="00274B41"/>
    <w:rsid w:val="00277DD3"/>
    <w:rsid w:val="00277F9A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366B0"/>
    <w:rsid w:val="0034078C"/>
    <w:rsid w:val="0034247B"/>
    <w:rsid w:val="00343597"/>
    <w:rsid w:val="00346936"/>
    <w:rsid w:val="0035304E"/>
    <w:rsid w:val="00354157"/>
    <w:rsid w:val="003632EB"/>
    <w:rsid w:val="00367F06"/>
    <w:rsid w:val="00371317"/>
    <w:rsid w:val="003719F1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C1197"/>
    <w:rsid w:val="003C5C6B"/>
    <w:rsid w:val="003C7923"/>
    <w:rsid w:val="003E29F8"/>
    <w:rsid w:val="003F1B00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1932"/>
    <w:rsid w:val="0049483B"/>
    <w:rsid w:val="004A1E7F"/>
    <w:rsid w:val="004A53CA"/>
    <w:rsid w:val="004A7F29"/>
    <w:rsid w:val="004B1804"/>
    <w:rsid w:val="004B5AA2"/>
    <w:rsid w:val="004C727A"/>
    <w:rsid w:val="004D03FB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07D8C"/>
    <w:rsid w:val="0051153B"/>
    <w:rsid w:val="00511C6F"/>
    <w:rsid w:val="00512014"/>
    <w:rsid w:val="005127B8"/>
    <w:rsid w:val="00514C3A"/>
    <w:rsid w:val="00517639"/>
    <w:rsid w:val="005223C8"/>
    <w:rsid w:val="005238FD"/>
    <w:rsid w:val="005246C0"/>
    <w:rsid w:val="005328D1"/>
    <w:rsid w:val="00534B47"/>
    <w:rsid w:val="00535FCE"/>
    <w:rsid w:val="005458D3"/>
    <w:rsid w:val="00550F20"/>
    <w:rsid w:val="0055706A"/>
    <w:rsid w:val="005633A4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0F26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3513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34E1"/>
    <w:rsid w:val="00754CA8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32A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52405"/>
    <w:rsid w:val="00860D4A"/>
    <w:rsid w:val="00860F36"/>
    <w:rsid w:val="0086181B"/>
    <w:rsid w:val="00862C85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22846"/>
    <w:rsid w:val="00924F6A"/>
    <w:rsid w:val="009255F5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90352"/>
    <w:rsid w:val="00990CB6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6F5A"/>
    <w:rsid w:val="009B7449"/>
    <w:rsid w:val="009B784B"/>
    <w:rsid w:val="009B785F"/>
    <w:rsid w:val="009C1B03"/>
    <w:rsid w:val="009C5C8D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66770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150"/>
    <w:rsid w:val="00AF425C"/>
    <w:rsid w:val="00AF6B64"/>
    <w:rsid w:val="00AF7C35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2C57"/>
    <w:rsid w:val="00B450D2"/>
    <w:rsid w:val="00B50943"/>
    <w:rsid w:val="00B60480"/>
    <w:rsid w:val="00B61F19"/>
    <w:rsid w:val="00B633BB"/>
    <w:rsid w:val="00B653CD"/>
    <w:rsid w:val="00B66A74"/>
    <w:rsid w:val="00B71785"/>
    <w:rsid w:val="00B75D3D"/>
    <w:rsid w:val="00B7795F"/>
    <w:rsid w:val="00B842AE"/>
    <w:rsid w:val="00B855F1"/>
    <w:rsid w:val="00B91F55"/>
    <w:rsid w:val="00B96BAE"/>
    <w:rsid w:val="00BA496E"/>
    <w:rsid w:val="00BB7AE7"/>
    <w:rsid w:val="00BC3F49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0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C444B"/>
    <w:rsid w:val="00CC518C"/>
    <w:rsid w:val="00CC76ED"/>
    <w:rsid w:val="00CC7A9A"/>
    <w:rsid w:val="00CD2DF6"/>
    <w:rsid w:val="00CD3370"/>
    <w:rsid w:val="00CD5E2A"/>
    <w:rsid w:val="00CE5555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B0FE6"/>
    <w:rsid w:val="00DB1B1F"/>
    <w:rsid w:val="00DB36FD"/>
    <w:rsid w:val="00DB4875"/>
    <w:rsid w:val="00DB57A9"/>
    <w:rsid w:val="00DC1E3A"/>
    <w:rsid w:val="00DC3825"/>
    <w:rsid w:val="00DC422D"/>
    <w:rsid w:val="00DC51A3"/>
    <w:rsid w:val="00DD5054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10E43"/>
    <w:rsid w:val="00E2063A"/>
    <w:rsid w:val="00E21049"/>
    <w:rsid w:val="00E229DE"/>
    <w:rsid w:val="00E22D28"/>
    <w:rsid w:val="00E2722A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76F55"/>
    <w:rsid w:val="00E81669"/>
    <w:rsid w:val="00E854A3"/>
    <w:rsid w:val="00EA35C1"/>
    <w:rsid w:val="00EA4AEC"/>
    <w:rsid w:val="00EA56DF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56B55"/>
    <w:rsid w:val="00F64EF0"/>
    <w:rsid w:val="00F65AC3"/>
    <w:rsid w:val="00F72558"/>
    <w:rsid w:val="00F7571E"/>
    <w:rsid w:val="00F96724"/>
    <w:rsid w:val="00F969E6"/>
    <w:rsid w:val="00FA68F4"/>
    <w:rsid w:val="00FA79C0"/>
    <w:rsid w:val="00FB1367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7899-2681-4273-9246-474B24A9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42</Pages>
  <Words>9771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2023-04-27T05:29:00Z</cp:lastPrinted>
  <dcterms:created xsi:type="dcterms:W3CDTF">2023-04-27T05:51:00Z</dcterms:created>
  <dcterms:modified xsi:type="dcterms:W3CDTF">2023-06-19T04:03:00Z</dcterms:modified>
</cp:coreProperties>
</file>